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EED" w:rsidRDefault="00E00223" w:rsidP="00E00223">
      <w:pPr>
        <w:jc w:val="center"/>
        <w:rPr>
          <w:rFonts w:cs="Segoe UI"/>
          <w:b/>
        </w:rPr>
      </w:pPr>
      <w:r>
        <w:rPr>
          <w:rFonts w:cs="Segoe UI"/>
          <w:b/>
        </w:rPr>
        <w:t>PREFEITURA MUNICIPAL DE ITAJÁI</w:t>
      </w:r>
    </w:p>
    <w:p w:rsidR="00E00223" w:rsidRPr="00E00223" w:rsidRDefault="00E00223" w:rsidP="00386945">
      <w:pPr>
        <w:pStyle w:val="PargrafodaLista"/>
        <w:jc w:val="center"/>
      </w:pPr>
      <w:r w:rsidRPr="00E00223">
        <w:t>Secretaria Municipal de Desenvolvimento Urbano e Habitação</w:t>
      </w:r>
    </w:p>
    <w:p w:rsidR="00E00223" w:rsidRDefault="00E00223" w:rsidP="00B62EED">
      <w:pPr>
        <w:rPr>
          <w:rFonts w:cs="Segoe UI"/>
          <w:b/>
        </w:rPr>
      </w:pPr>
    </w:p>
    <w:p w:rsidR="00E00223" w:rsidRDefault="00E00223" w:rsidP="00B62EED">
      <w:pPr>
        <w:rPr>
          <w:rFonts w:cs="Segoe UI"/>
          <w:b/>
        </w:rPr>
      </w:pPr>
    </w:p>
    <w:p w:rsidR="00F40B83" w:rsidRDefault="00F40B83" w:rsidP="00B62EED">
      <w:pPr>
        <w:rPr>
          <w:rFonts w:cs="Segoe UI"/>
          <w:b/>
        </w:rPr>
      </w:pPr>
    </w:p>
    <w:p w:rsidR="00E00223" w:rsidRDefault="00E00223" w:rsidP="00B62EED">
      <w:pPr>
        <w:rPr>
          <w:rFonts w:cs="Segoe UI"/>
          <w:b/>
        </w:rPr>
      </w:pPr>
    </w:p>
    <w:p w:rsidR="00E00223" w:rsidRDefault="00E00223" w:rsidP="00B62EED">
      <w:pPr>
        <w:rPr>
          <w:rFonts w:cs="Segoe UI"/>
          <w:b/>
        </w:rPr>
      </w:pPr>
    </w:p>
    <w:p w:rsidR="00E00223" w:rsidRDefault="00E00223" w:rsidP="00B62EED">
      <w:pPr>
        <w:rPr>
          <w:rFonts w:cs="Segoe UI"/>
          <w:b/>
        </w:rPr>
      </w:pPr>
    </w:p>
    <w:p w:rsidR="00E00223" w:rsidRPr="00265DE8" w:rsidRDefault="00E00223" w:rsidP="00B62EED">
      <w:pPr>
        <w:rPr>
          <w:rFonts w:cs="Segoe UI"/>
          <w:b/>
        </w:rPr>
      </w:pPr>
    </w:p>
    <w:p w:rsidR="00B62EED" w:rsidRPr="00E00223" w:rsidRDefault="005E69F7" w:rsidP="00B62EED">
      <w:pPr>
        <w:jc w:val="center"/>
        <w:rPr>
          <w:rFonts w:cs="Segoe UI"/>
          <w:b/>
          <w:sz w:val="28"/>
          <w:szCs w:val="28"/>
        </w:rPr>
      </w:pPr>
      <w:r>
        <w:rPr>
          <w:rFonts w:cs="Segoe UI"/>
          <w:b/>
          <w:sz w:val="28"/>
          <w:szCs w:val="28"/>
        </w:rPr>
        <w:t>ESTUDO TÉCNICO PRELIMINAR - ETP</w:t>
      </w:r>
    </w:p>
    <w:p w:rsidR="00DF0E5D" w:rsidRDefault="00DF0E5D" w:rsidP="00DF0E5D">
      <w:pPr>
        <w:pStyle w:val="Default"/>
        <w:jc w:val="center"/>
        <w:rPr>
          <w:rFonts w:ascii="Segoe UI" w:hAnsi="Segoe UI" w:cs="Segoe UI"/>
          <w:i/>
          <w:iCs/>
          <w:color w:val="auto"/>
          <w:sz w:val="28"/>
          <w:szCs w:val="28"/>
        </w:rPr>
      </w:pPr>
      <w:r>
        <w:rPr>
          <w:rFonts w:ascii="Segoe UI" w:hAnsi="Segoe UI" w:cs="Segoe UI"/>
          <w:i/>
          <w:iCs/>
          <w:color w:val="auto"/>
          <w:sz w:val="28"/>
          <w:szCs w:val="28"/>
        </w:rPr>
        <w:t>Cancha de Laço – Etapa 01, no Parque do Agricultor</w:t>
      </w:r>
      <w:r w:rsidRPr="00987A16">
        <w:rPr>
          <w:rFonts w:ascii="Segoe UI" w:hAnsi="Segoe UI" w:cs="Segoe UI"/>
          <w:i/>
          <w:iCs/>
          <w:color w:val="auto"/>
          <w:sz w:val="28"/>
          <w:szCs w:val="28"/>
        </w:rPr>
        <w:t xml:space="preserve"> Gilmar Graf</w:t>
      </w:r>
    </w:p>
    <w:p w:rsidR="00B62EED" w:rsidRPr="00265DE8" w:rsidRDefault="00B62EED" w:rsidP="00387EDF">
      <w:pPr>
        <w:pStyle w:val="Default"/>
        <w:jc w:val="center"/>
        <w:rPr>
          <w:rFonts w:ascii="Segoe UI" w:hAnsi="Segoe UI" w:cs="Segoe UI"/>
          <w:sz w:val="22"/>
          <w:szCs w:val="22"/>
        </w:rPr>
      </w:pPr>
    </w:p>
    <w:p w:rsidR="00B62EED" w:rsidRDefault="00B62EED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8B0C54" w:rsidRDefault="008B0C54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F40B83" w:rsidRDefault="00F40B83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F40B83" w:rsidRDefault="00F40B83" w:rsidP="00B62EED">
      <w:pPr>
        <w:pStyle w:val="Default"/>
        <w:jc w:val="both"/>
        <w:rPr>
          <w:rFonts w:ascii="Segoe UI" w:hAnsi="Segoe UI" w:cs="Segoe UI"/>
          <w:sz w:val="22"/>
          <w:szCs w:val="22"/>
        </w:rPr>
      </w:pPr>
    </w:p>
    <w:p w:rsidR="00E00223" w:rsidRDefault="00DF0E5D" w:rsidP="005E69F7">
      <w:pPr>
        <w:pStyle w:val="Default"/>
        <w:jc w:val="center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bCs/>
          <w:sz w:val="22"/>
          <w:szCs w:val="22"/>
        </w:rPr>
        <w:t>Abril</w:t>
      </w:r>
      <w:r w:rsidR="00E00223" w:rsidRPr="00E00223">
        <w:rPr>
          <w:rFonts w:ascii="Segoe UI" w:hAnsi="Segoe UI" w:cs="Segoe UI"/>
          <w:b/>
          <w:bCs/>
          <w:sz w:val="22"/>
          <w:szCs w:val="22"/>
        </w:rPr>
        <w:t xml:space="preserve"> 202</w:t>
      </w:r>
      <w:r>
        <w:rPr>
          <w:rFonts w:ascii="Segoe UI" w:hAnsi="Segoe UI" w:cs="Segoe UI"/>
          <w:b/>
          <w:bCs/>
          <w:sz w:val="22"/>
          <w:szCs w:val="22"/>
        </w:rPr>
        <w:t>4</w:t>
      </w:r>
    </w:p>
    <w:p w:rsidR="00DF0E5D" w:rsidRDefault="00DF0E5D" w:rsidP="005E69F7">
      <w:pPr>
        <w:pStyle w:val="Default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387EDF" w:rsidRPr="005E69F7" w:rsidRDefault="005E69F7" w:rsidP="00CA059C">
      <w:pPr>
        <w:pStyle w:val="TtulosB"/>
      </w:pPr>
      <w:bookmarkStart w:id="0" w:name="_Hlk135742195"/>
      <w:r>
        <w:lastRenderedPageBreak/>
        <w:t>INTRODUÇÃO</w:t>
      </w:r>
    </w:p>
    <w:p w:rsidR="00DF0E5D" w:rsidRDefault="00DF0E5D" w:rsidP="00DF0E5D">
      <w:pPr>
        <w:jc w:val="both"/>
      </w:pPr>
      <w:r w:rsidRPr="00DF0E5D">
        <w:t xml:space="preserve">O presente </w:t>
      </w:r>
      <w:r>
        <w:t>E</w:t>
      </w:r>
      <w:r w:rsidRPr="00DF0E5D">
        <w:t xml:space="preserve">studo </w:t>
      </w:r>
      <w:r>
        <w:t>T</w:t>
      </w:r>
      <w:r w:rsidRPr="00DF0E5D">
        <w:t xml:space="preserve">écnico </w:t>
      </w:r>
      <w:r>
        <w:t>P</w:t>
      </w:r>
      <w:r w:rsidRPr="00DF0E5D">
        <w:t>reliminar tem como objetivo oferecer subsídios técnicos e estabelecer as condições necessárias à contratação de empresa de engenharia e/ou arquitetura habilitada para a execução das obras da Cancha de Laço – Etapa 01, a serem realizadas no Parque do Agricultor Gilmar Graf, localizado na Rua Mansueto Felizardo Vieira, nº 557, Bairro Baia, Itajaí – SC. A área de intervenção para o projeto é de aproximadamente 11.505,20 m².</w:t>
      </w:r>
    </w:p>
    <w:p w:rsidR="00D926C3" w:rsidRDefault="00D926C3" w:rsidP="00D926C3">
      <w:pPr>
        <w:jc w:val="both"/>
      </w:pPr>
      <w:r>
        <w:t>Este estudo foi elaborado conforme § 1° do art. 18 da Lei 14.133, de 1º de abril de 2021.</w:t>
      </w:r>
    </w:p>
    <w:p w:rsidR="00DF0E5D" w:rsidRDefault="00D926C3" w:rsidP="00DF0E5D">
      <w:pPr>
        <w:jc w:val="both"/>
      </w:pPr>
      <w:r>
        <w:t xml:space="preserve">No presente estudo, serão abordados apenas os elementos previstos nos incisos I, IV, VI, VIII e XIII do § 1º do art. 18 da Lei 14.133, de 1º de abril de 2021. </w:t>
      </w:r>
      <w:r w:rsidRPr="00D926C3">
        <w:t>Os demais incisos do art. 18 da Lei 14.133/2021 não foram abordados devido à sua relativa menor relevância ou aplicabilidade ao contexto específico do projeto em questão.</w:t>
      </w:r>
    </w:p>
    <w:p w:rsidR="00D926C3" w:rsidRPr="00DF0E5D" w:rsidRDefault="00D926C3" w:rsidP="00DF0E5D">
      <w:pPr>
        <w:jc w:val="both"/>
      </w:pPr>
    </w:p>
    <w:p w:rsidR="00E05056" w:rsidRPr="005E69F7" w:rsidRDefault="00E05056" w:rsidP="00CA059C">
      <w:pPr>
        <w:pStyle w:val="TtulosB"/>
      </w:pPr>
      <w:r>
        <w:t>OBJETO</w:t>
      </w:r>
    </w:p>
    <w:p w:rsidR="00387EDF" w:rsidRDefault="00DF0E5D" w:rsidP="002267C6">
      <w:pPr>
        <w:pStyle w:val="Textos"/>
      </w:pPr>
      <w:r>
        <w:t>C</w:t>
      </w:r>
      <w:r w:rsidRPr="00DF0E5D">
        <w:t>ontratação de empresa de engenharia e/ou arquitetura habilitada para a execução das obras da Cancha de Laço – Etapa 01, no Parque do Agricultor Gilmar Graf</w:t>
      </w:r>
      <w:r>
        <w:t>.</w:t>
      </w:r>
    </w:p>
    <w:p w:rsidR="00E05056" w:rsidRDefault="00E05056" w:rsidP="002267C6">
      <w:pPr>
        <w:pStyle w:val="Textos"/>
      </w:pPr>
    </w:p>
    <w:p w:rsidR="00E05056" w:rsidRPr="00C7514A" w:rsidRDefault="00E05056" w:rsidP="00D3385E">
      <w:pPr>
        <w:pStyle w:val="TtulosA"/>
      </w:pPr>
      <w:r w:rsidRPr="00C7514A">
        <w:t>NECESSIDADE D</w:t>
      </w:r>
      <w:r w:rsidR="00EB485B" w:rsidRPr="00C7514A">
        <w:t>A CONTRATAÇÃO</w:t>
      </w:r>
    </w:p>
    <w:p w:rsidR="00090B5D" w:rsidRDefault="00090B5D" w:rsidP="00090B5D">
      <w:pPr>
        <w:pStyle w:val="Textos"/>
      </w:pPr>
      <w:r>
        <w:t>A contratação de uma empresa de engenharia e/ou arquitetura para a execução das obras da Cancha de Laço – Etapa 01 surge como uma demanda essencial para suprir uma lacuna identificada na infraestrutura do Parque do Agricultor Gilmar Graf, situado em Itajaí – SC. Atualmente, o espaço carece de uma estrutura adequada para a prática do esporte tradicional de laço, o que compromete não apenas o desenvolvimento dessa atividade tão enraizada na cultura local, mas também a oferta de opções de lazer e entretenimento para a comunidade. Essa carência não apenas limita as oportunidades de recreação e atividades esportivas para os residentes locais, mas também afeta o potencial turístico da região, privando visitantes de uma experiência completa e autêntica.</w:t>
      </w:r>
    </w:p>
    <w:p w:rsidR="00090B5D" w:rsidRDefault="00090B5D" w:rsidP="00090B5D">
      <w:pPr>
        <w:pStyle w:val="Textos"/>
      </w:pPr>
      <w:r>
        <w:t>Além disso, a ausência de uma Cancha de Laço no Parque do Agricultor Gilmar Graf representa uma oportunidade perdida para o município de Itajaí de fomentar a economia local e promover o turismo rural. Eventos esportivos e culturais desempenham um papel fundamental na dinamização da economia, atraindo visitantes, estimulando o comércio local e gerando empregos temporários. A construção da Cancha de Laço não só irá preencher essa lacuna infra estrutural, mas também criar um novo polo de atração para turistas e moradores locais, contribuindo para a diversificação da oferta turística do município e para o fortalecimento da identidade cultural da região.</w:t>
      </w:r>
    </w:p>
    <w:p w:rsidR="00090B5D" w:rsidRDefault="00090B5D" w:rsidP="00090B5D">
      <w:pPr>
        <w:pStyle w:val="Textos"/>
      </w:pPr>
      <w:r>
        <w:lastRenderedPageBreak/>
        <w:t>Além do aspecto cultural e econômico, a contratação para a execução das obras da Cancha de Laço 1 também se alinha com os objetivos de promoção da saúde e bem-estar da população. A oferta de espaços adequados para a prática de atividades físicas e esportivas é fundamental para combater o sedentarismo e promover um estilo de vida ativo e saudável. A Cancha de Laço não apenas proporcionará um local para a prática desse esporte tradicional, mas também servirá como um ponto de encontro para a comunidade, incentivando a socialização e o convívio entre os moradores de Itajaí e visitantes.</w:t>
      </w:r>
    </w:p>
    <w:p w:rsidR="00CA059C" w:rsidRDefault="00CA059C" w:rsidP="006D1E3A">
      <w:pPr>
        <w:pStyle w:val="Textos"/>
      </w:pPr>
    </w:p>
    <w:p w:rsidR="00DF324A" w:rsidRDefault="00DF324A" w:rsidP="00DF324A">
      <w:pPr>
        <w:pStyle w:val="TtulosA"/>
      </w:pPr>
      <w:r>
        <w:t>ESTIMATIVA DAS QUANTIDADES PARA CONTRATAÇÃO</w:t>
      </w:r>
    </w:p>
    <w:p w:rsidR="0031782F" w:rsidRDefault="00D926C3" w:rsidP="0031782F">
      <w:pPr>
        <w:pStyle w:val="Textos"/>
      </w:pPr>
      <w:r w:rsidRPr="00D926C3">
        <w:t xml:space="preserve">A estimativa do valor da contratação é apresentada conforme o orçamento em anexo, onde são detalhados os preços unitários referenciais que embasam </w:t>
      </w:r>
      <w:r w:rsidR="0031782F">
        <w:t>a</w:t>
      </w:r>
      <w:r w:rsidRPr="00D926C3">
        <w:t xml:space="preserve"> estimativa</w:t>
      </w:r>
      <w:r w:rsidR="0031782F">
        <w:t>. O valor total da obra está estimado em R$ 1.292.520,59</w:t>
      </w:r>
      <w:r w:rsidR="0031782F" w:rsidRPr="00D926C3">
        <w:t>.</w:t>
      </w:r>
    </w:p>
    <w:p w:rsidR="00D926C3" w:rsidRDefault="00D926C3" w:rsidP="00700952">
      <w:pPr>
        <w:pStyle w:val="Textos"/>
      </w:pPr>
    </w:p>
    <w:p w:rsidR="000831AE" w:rsidRDefault="000831AE" w:rsidP="000831AE">
      <w:pPr>
        <w:pStyle w:val="TtulosA"/>
      </w:pPr>
      <w:r>
        <w:t>ESTIMATIVA DO VALOR DA CONTRATAÇÃO</w:t>
      </w:r>
    </w:p>
    <w:p w:rsidR="0031782F" w:rsidRDefault="00D926C3" w:rsidP="0031782F">
      <w:pPr>
        <w:pStyle w:val="Textos"/>
      </w:pPr>
      <w:r>
        <w:t>A</w:t>
      </w:r>
      <w:r w:rsidR="00802CFF">
        <w:t xml:space="preserve"> </w:t>
      </w:r>
      <w:r w:rsidRPr="00D926C3">
        <w:t>estimativa do valor</w:t>
      </w:r>
      <w:r>
        <w:t xml:space="preserve"> da contratação</w:t>
      </w:r>
      <w:r w:rsidRPr="00D926C3">
        <w:t xml:space="preserve"> é apresentada conforme o orçamento em anexo, onde são detalhados os preços unitários referenciais que embasam essa estimativa.</w:t>
      </w:r>
      <w:r w:rsidR="002C3C31">
        <w:t xml:space="preserve"> </w:t>
      </w:r>
      <w:bookmarkStart w:id="1" w:name="_GoBack"/>
      <w:bookmarkEnd w:id="1"/>
      <w:r w:rsidR="0031782F">
        <w:t>O valor total da obra está estimado em R$ 1.292.520,59</w:t>
      </w:r>
      <w:r w:rsidR="0031782F" w:rsidRPr="00D926C3">
        <w:t>.</w:t>
      </w:r>
    </w:p>
    <w:p w:rsidR="00D926C3" w:rsidRDefault="00D926C3" w:rsidP="00D926C3">
      <w:pPr>
        <w:pStyle w:val="Textos"/>
      </w:pPr>
    </w:p>
    <w:p w:rsidR="009B6C13" w:rsidRPr="00DF009E" w:rsidRDefault="009B6C13" w:rsidP="009B6C13">
      <w:pPr>
        <w:pStyle w:val="TtulosA"/>
      </w:pPr>
      <w:r w:rsidRPr="009B6C13">
        <w:t>JUSTIFICATIVAS PARA O PARCELAMENTO OU NÃO DA CONTRATAÇÃO</w:t>
      </w:r>
    </w:p>
    <w:p w:rsidR="00FC3952" w:rsidRDefault="00FC3952" w:rsidP="00D926C3">
      <w:pPr>
        <w:pStyle w:val="Textos"/>
      </w:pPr>
      <w:r w:rsidRPr="00FC3952">
        <w:t xml:space="preserve">O não parcelamento da contratação para a execução das obras da Cancha de Laço – Etapa 01 é fundamentado na complexidade e na singularidade técnica do projeto, que demanda uma abordagem integrada e coesa para garantir sua eficiência e qualidade. </w:t>
      </w:r>
    </w:p>
    <w:p w:rsidR="00FC3952" w:rsidRDefault="00FC3952" w:rsidP="00FC3952">
      <w:pPr>
        <w:jc w:val="both"/>
      </w:pPr>
      <w:r w:rsidRPr="00FC3952">
        <w:t>Ao manter o projeto como uma única etapa, evita-se a fragmentação das atividades, permitindo uma supervisão mais eficaz e uma gestão mais controlada do empreendimento. Isso proporciona maior previsibilidade financeira, agilidade na execução das obras e simplificação do processo de gestão, contribuindo para a transparência, eficiência e sucesso do projeto como um todo.</w:t>
      </w:r>
    </w:p>
    <w:p w:rsidR="00AA7888" w:rsidRDefault="00AA7888" w:rsidP="00AA7888">
      <w:pPr>
        <w:pStyle w:val="Textos"/>
      </w:pPr>
    </w:p>
    <w:p w:rsidR="009B6C13" w:rsidRDefault="009B6C13" w:rsidP="009B6C13">
      <w:pPr>
        <w:pStyle w:val="TtulosA"/>
      </w:pPr>
      <w:r w:rsidRPr="009B6C13">
        <w:t>POSICIONAMENTO CONCLUSIVO SOBRE A ADEQUAÇÃO DA CONTRATAÇÃO</w:t>
      </w:r>
    </w:p>
    <w:p w:rsidR="00FC3952" w:rsidRDefault="00FC3952" w:rsidP="00FC3952">
      <w:pPr>
        <w:pStyle w:val="Textos"/>
      </w:pPr>
      <w:r>
        <w:t xml:space="preserve">O posicionamento conclusivo sobre a adequação da contratação para atender à necessidade da execução das obras da Cancha de Laço – Etapa 01 é essencialmente favorável, visto que o projeto visa suprir uma demanda identificada na comunidade, promovendo o acesso a espaços adequados </w:t>
      </w:r>
      <w:r>
        <w:lastRenderedPageBreak/>
        <w:t>para a prática esportiva e de lazer. A contratação de uma empresa de engenharia e/ou arquitetura é considerada indispensável para a realização das obras, garantindo a expertise técnica necessária para a concepção e execução do empreendimento de forma eficiente e qualificada.</w:t>
      </w:r>
    </w:p>
    <w:p w:rsidR="00FC3952" w:rsidRDefault="00FC3952" w:rsidP="00FC3952">
      <w:pPr>
        <w:pStyle w:val="Textos"/>
      </w:pPr>
      <w:r>
        <w:t>O projeto da Cancha de Laço – Etapa 01 não apenas contribui para a valorização do patrimônio cultural e esportivo de Itajaí, mas também para o desenvolvimento socioeconômico da região. Ao criar um ambiente propício para a prática do esporte tradicional de laço, o projeto fortalece a identidade local e fomenta atividades que promovem a integração comunitária, a saúde e o bem-estar da população. Além disso, a contratação da empresa especializada representa um investimento estratégico para a diversificação da oferta turística do município, atraindo visitantes e impulsionando a economia local.</w:t>
      </w:r>
    </w:p>
    <w:p w:rsidR="00FC3952" w:rsidRDefault="00FC3952" w:rsidP="00FC3952">
      <w:pPr>
        <w:pStyle w:val="Textos"/>
      </w:pPr>
      <w:r>
        <w:t>Em suma, o posicionamento conclusivo reafirma a importância e a pertinência da contratação para o atendimento da necessidade identificada, destacando seu potencial para agregar valor à comunidade, promover o desenvolvimento regional e fortalecer o potencial turístico de Itajaí. A execução das obras da Cancha de Laço – Etapa 01 é vista como uma oportunidade de investimento que irá proporcionar benefícios tangíveis e duradouros para a população, reforçando o compromisso da Administração Pública com o bem-estar e o progresso do município.</w:t>
      </w:r>
    </w:p>
    <w:p w:rsidR="00F43748" w:rsidRDefault="00F43748" w:rsidP="00BE5B92">
      <w:pPr>
        <w:pStyle w:val="Textos"/>
        <w:jc w:val="center"/>
      </w:pPr>
    </w:p>
    <w:p w:rsidR="00F43748" w:rsidRDefault="00F43748" w:rsidP="00BE5B92">
      <w:pPr>
        <w:pStyle w:val="Textos"/>
        <w:jc w:val="center"/>
      </w:pPr>
    </w:p>
    <w:p w:rsidR="00385ABB" w:rsidRDefault="00F43748" w:rsidP="0031782F">
      <w:pPr>
        <w:pStyle w:val="Textos"/>
        <w:jc w:val="left"/>
      </w:pPr>
      <w:r>
        <w:t xml:space="preserve">Itajaí, </w:t>
      </w:r>
      <w:r w:rsidR="00D926C3">
        <w:t>0</w:t>
      </w:r>
      <w:r w:rsidR="0031782F">
        <w:t>4</w:t>
      </w:r>
      <w:r w:rsidR="00D926C3">
        <w:t xml:space="preserve"> de </w:t>
      </w:r>
      <w:r w:rsidR="0031782F">
        <w:t>abril</w:t>
      </w:r>
      <w:r w:rsidR="00D926C3">
        <w:t xml:space="preserve"> de 2024</w:t>
      </w:r>
    </w:p>
    <w:p w:rsidR="00385ABB" w:rsidRDefault="00385ABB" w:rsidP="00BE5B92">
      <w:pPr>
        <w:pStyle w:val="Textos"/>
        <w:jc w:val="center"/>
      </w:pPr>
    </w:p>
    <w:p w:rsidR="00385ABB" w:rsidRPr="00DF009E" w:rsidRDefault="00385ABB" w:rsidP="0031782F">
      <w:pPr>
        <w:pStyle w:val="Textos"/>
        <w:spacing w:after="0"/>
        <w:jc w:val="center"/>
      </w:pPr>
    </w:p>
    <w:p w:rsidR="00387EDF" w:rsidRPr="00DF009E" w:rsidRDefault="00387EDF" w:rsidP="0031782F">
      <w:pPr>
        <w:pStyle w:val="Textos"/>
        <w:spacing w:after="0"/>
        <w:jc w:val="center"/>
        <w:rPr>
          <w:rFonts w:cs="Segoe UI"/>
        </w:rPr>
      </w:pPr>
      <w:r w:rsidRPr="00DF009E">
        <w:rPr>
          <w:rFonts w:cs="Segoe UI"/>
        </w:rPr>
        <w:t xml:space="preserve">Arq. </w:t>
      </w:r>
      <w:r w:rsidR="00F434AB">
        <w:rPr>
          <w:rFonts w:cs="Segoe UI"/>
        </w:rPr>
        <w:t>Marina dos Santos</w:t>
      </w:r>
    </w:p>
    <w:p w:rsidR="00387EDF" w:rsidRPr="00DF009E" w:rsidRDefault="00387EDF" w:rsidP="0031782F">
      <w:pPr>
        <w:pStyle w:val="Textos"/>
        <w:spacing w:after="0"/>
        <w:jc w:val="center"/>
        <w:rPr>
          <w:rFonts w:cs="Segoe UI"/>
        </w:rPr>
      </w:pPr>
      <w:r w:rsidRPr="00DF009E">
        <w:rPr>
          <w:rFonts w:cs="Segoe UI"/>
        </w:rPr>
        <w:t>Arquiteta e Urbanista</w:t>
      </w:r>
    </w:p>
    <w:p w:rsidR="00387EDF" w:rsidRDefault="00387EDF" w:rsidP="0031782F">
      <w:pPr>
        <w:pStyle w:val="Textos"/>
        <w:spacing w:after="0"/>
      </w:pPr>
    </w:p>
    <w:p w:rsidR="00D926C3" w:rsidRPr="00DF009E" w:rsidRDefault="00D926C3" w:rsidP="0031782F">
      <w:pPr>
        <w:pStyle w:val="Textos"/>
        <w:spacing w:after="0"/>
      </w:pPr>
    </w:p>
    <w:p w:rsidR="00387EDF" w:rsidRPr="00DF009E" w:rsidRDefault="00387EDF" w:rsidP="0031782F">
      <w:pPr>
        <w:pStyle w:val="Textos"/>
        <w:spacing w:after="0"/>
        <w:jc w:val="center"/>
      </w:pPr>
      <w:r w:rsidRPr="00DF009E">
        <w:t>Eng. Joelcir Zatta</w:t>
      </w:r>
    </w:p>
    <w:p w:rsidR="00E93BCC" w:rsidRDefault="00387EDF" w:rsidP="0031782F">
      <w:pPr>
        <w:pStyle w:val="Textos"/>
        <w:spacing w:after="0"/>
        <w:jc w:val="center"/>
      </w:pPr>
      <w:r w:rsidRPr="00DF009E">
        <w:t>Diretor de Planejamento Urbano</w:t>
      </w:r>
      <w:bookmarkEnd w:id="0"/>
    </w:p>
    <w:p w:rsidR="0031782F" w:rsidRDefault="0031782F" w:rsidP="0031782F">
      <w:pPr>
        <w:pStyle w:val="Textos"/>
        <w:spacing w:after="0"/>
        <w:jc w:val="center"/>
      </w:pPr>
    </w:p>
    <w:p w:rsidR="0031782F" w:rsidRDefault="0031782F" w:rsidP="0031782F">
      <w:pPr>
        <w:pStyle w:val="Textos"/>
        <w:spacing w:after="0"/>
        <w:jc w:val="center"/>
      </w:pPr>
    </w:p>
    <w:p w:rsidR="0031782F" w:rsidRDefault="0031782F" w:rsidP="0031782F">
      <w:pPr>
        <w:pStyle w:val="Textos"/>
        <w:spacing w:after="0"/>
        <w:jc w:val="center"/>
      </w:pPr>
      <w:proofErr w:type="spellStart"/>
      <w:r w:rsidRPr="0031782F">
        <w:t>Simara</w:t>
      </w:r>
      <w:proofErr w:type="spellEnd"/>
      <w:r w:rsidR="00FB52EC">
        <w:t xml:space="preserve"> </w:t>
      </w:r>
      <w:proofErr w:type="spellStart"/>
      <w:r w:rsidRPr="0031782F">
        <w:t>Bollauf</w:t>
      </w:r>
      <w:proofErr w:type="spellEnd"/>
    </w:p>
    <w:p w:rsidR="0031782F" w:rsidRPr="009F5FF2" w:rsidRDefault="0031782F" w:rsidP="0031782F">
      <w:pPr>
        <w:pStyle w:val="Textos"/>
        <w:spacing w:after="0"/>
        <w:jc w:val="center"/>
      </w:pPr>
      <w:r>
        <w:t>Secretária Municipal de Agricultura</w:t>
      </w:r>
    </w:p>
    <w:p w:rsidR="0031782F" w:rsidRPr="009F5FF2" w:rsidRDefault="0031782F" w:rsidP="0031782F">
      <w:pPr>
        <w:pStyle w:val="Textos"/>
        <w:spacing w:after="0"/>
        <w:jc w:val="center"/>
      </w:pPr>
    </w:p>
    <w:sectPr w:rsidR="0031782F" w:rsidRPr="009F5FF2" w:rsidSect="00ED480F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EED" w:rsidRDefault="00B62EED" w:rsidP="00B62EED">
      <w:pPr>
        <w:spacing w:after="0" w:line="240" w:lineRule="auto"/>
      </w:pPr>
      <w:r>
        <w:separator/>
      </w:r>
    </w:p>
  </w:endnote>
  <w:endnote w:type="continuationSeparator" w:id="0">
    <w:p w:rsidR="00B62EED" w:rsidRDefault="00B62EED" w:rsidP="00B6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942" w:rsidRPr="00EA5C57" w:rsidRDefault="002C3C31" w:rsidP="00764253">
    <w:pPr>
      <w:jc w:val="right"/>
      <w:rPr>
        <w:rFonts w:ascii="Arial" w:hAnsi="Arial" w:cs="Arial"/>
        <w:color w:val="BFBFBF"/>
        <w:sz w:val="24"/>
        <w:szCs w:val="24"/>
      </w:rPr>
    </w:pPr>
  </w:p>
  <w:p w:rsidR="00387942" w:rsidRPr="00B62EED" w:rsidRDefault="00B62EED" w:rsidP="00764253">
    <w:pPr>
      <w:jc w:val="right"/>
      <w:rPr>
        <w:rFonts w:cs="Segoe UI"/>
        <w:color w:val="BFBFBF"/>
        <w:sz w:val="20"/>
        <w:szCs w:val="20"/>
      </w:rPr>
    </w:pPr>
    <w:r w:rsidRPr="00B62EED">
      <w:rPr>
        <w:rFonts w:cs="Segoe UI"/>
        <w:noProof/>
        <w:sz w:val="20"/>
        <w:szCs w:val="20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718820" cy="718820"/>
          <wp:effectExtent l="0" t="0" r="5080" b="508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820" cy="718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456A5" w:rsidRPr="00B62EED">
      <w:rPr>
        <w:rFonts w:cs="Segoe UI"/>
        <w:color w:val="808080"/>
        <w:sz w:val="20"/>
        <w:szCs w:val="20"/>
      </w:rPr>
      <w:t>Rua Alberto Werner, nº 100 – Vila Operária – Itajaí/SC</w:t>
    </w:r>
    <w:r w:rsidR="00B456A5" w:rsidRPr="00B62EED">
      <w:rPr>
        <w:rFonts w:cs="Segoe UI"/>
        <w:color w:val="808080"/>
        <w:sz w:val="20"/>
        <w:szCs w:val="20"/>
      </w:rPr>
      <w:br/>
      <w:t>Telefone: (47) 3341-6071| www.itajai.sc.gov.br</w:t>
    </w:r>
  </w:p>
  <w:p w:rsidR="00387942" w:rsidRDefault="002C3C3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EED" w:rsidRDefault="00B62EED" w:rsidP="00B62EED">
      <w:pPr>
        <w:spacing w:after="0" w:line="240" w:lineRule="auto"/>
      </w:pPr>
      <w:r>
        <w:separator/>
      </w:r>
    </w:p>
  </w:footnote>
  <w:footnote w:type="continuationSeparator" w:id="0">
    <w:p w:rsidR="00B62EED" w:rsidRDefault="00B62EED" w:rsidP="00B62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942" w:rsidRDefault="004F3E40" w:rsidP="00764253"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11127</wp:posOffset>
          </wp:positionV>
          <wp:extent cx="3585845" cy="631825"/>
          <wp:effectExtent l="0" t="0" r="0" b="0"/>
          <wp:wrapSquare wrapText="bothSides"/>
          <wp:docPr id="5" name="Imagem 4">
            <a:extLst xmlns:a="http://schemas.openxmlformats.org/drawingml/2006/main">
              <a:ext uri="{FF2B5EF4-FFF2-40B4-BE49-F238E27FC236}">
                <a16:creationId xmlns:a16="http://schemas.microsoft.com/office/drawing/2014/main" id="{7F839A62-01C2-460C-9B7C-557671166D0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4">
                    <a:extLst>
                      <a:ext uri="{FF2B5EF4-FFF2-40B4-BE49-F238E27FC236}">
                        <a16:creationId xmlns:a16="http://schemas.microsoft.com/office/drawing/2014/main" id="{7F839A62-01C2-460C-9B7C-557671166D0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-20000" contras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5845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87942" w:rsidRDefault="002C3C31"/>
  <w:p w:rsidR="00B62EED" w:rsidRDefault="00B62EED"/>
  <w:p w:rsidR="004F3E40" w:rsidRDefault="004F3E4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035C9"/>
    <w:multiLevelType w:val="multilevel"/>
    <w:tmpl w:val="1C869B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2C5795"/>
    <w:multiLevelType w:val="hybridMultilevel"/>
    <w:tmpl w:val="13B69CA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590F38"/>
    <w:multiLevelType w:val="hybridMultilevel"/>
    <w:tmpl w:val="BFAE317A"/>
    <w:lvl w:ilvl="0" w:tplc="F2D2127A">
      <w:start w:val="1"/>
      <w:numFmt w:val="upperRoman"/>
      <w:pStyle w:val="MarcadorB"/>
      <w:lvlText w:val="%1."/>
      <w:lvlJc w:val="left"/>
      <w:pPr>
        <w:ind w:left="36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E2819A6"/>
    <w:multiLevelType w:val="hybridMultilevel"/>
    <w:tmpl w:val="0C708ACE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2819FB"/>
    <w:multiLevelType w:val="hybridMultilevel"/>
    <w:tmpl w:val="06C40D6C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6A060C"/>
    <w:multiLevelType w:val="hybridMultilevel"/>
    <w:tmpl w:val="5A803FF0"/>
    <w:lvl w:ilvl="0" w:tplc="549A0E18">
      <w:start w:val="1"/>
      <w:numFmt w:val="upperLetter"/>
      <w:pStyle w:val="TtulosB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70BF7"/>
    <w:multiLevelType w:val="multilevel"/>
    <w:tmpl w:val="7EFABB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6F85D21"/>
    <w:multiLevelType w:val="multilevel"/>
    <w:tmpl w:val="20A6F8FA"/>
    <w:lvl w:ilvl="0">
      <w:start w:val="1"/>
      <w:numFmt w:val="decimal"/>
      <w:lvlText w:val="%1"/>
      <w:lvlJc w:val="left"/>
      <w:pPr>
        <w:ind w:left="405" w:hanging="405"/>
      </w:pPr>
      <w:rPr>
        <w:rFonts w:eastAsiaTheme="minorHAnsi" w:cstheme="minorBidi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HAnsi" w:cstheme="minorBidi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theme="minorBidi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HAnsi" w:cstheme="minorBidi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theme="minorBidi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HAnsi" w:cstheme="minorBidi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HAnsi" w:cstheme="minorBidi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HAnsi" w:cstheme="minorBidi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HAnsi" w:cstheme="minorBidi" w:hint="default"/>
        <w:b/>
        <w:color w:val="auto"/>
      </w:rPr>
    </w:lvl>
  </w:abstractNum>
  <w:abstractNum w:abstractNumId="8" w15:restartNumberingAfterBreak="0">
    <w:nsid w:val="48646252"/>
    <w:multiLevelType w:val="hybridMultilevel"/>
    <w:tmpl w:val="1DA2591A"/>
    <w:lvl w:ilvl="0" w:tplc="0416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58232F5"/>
    <w:multiLevelType w:val="multilevel"/>
    <w:tmpl w:val="2974C0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C794B06"/>
    <w:multiLevelType w:val="multilevel"/>
    <w:tmpl w:val="19C61618"/>
    <w:lvl w:ilvl="0">
      <w:start w:val="1"/>
      <w:numFmt w:val="decimal"/>
      <w:pStyle w:val="TtulosA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Item00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9B3CA7"/>
    <w:multiLevelType w:val="multilevel"/>
    <w:tmpl w:val="405A35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single"/>
      </w:rPr>
    </w:lvl>
  </w:abstractNum>
  <w:abstractNum w:abstractNumId="12" w15:restartNumberingAfterBreak="0">
    <w:nsid w:val="5E105C78"/>
    <w:multiLevelType w:val="multilevel"/>
    <w:tmpl w:val="B5F4C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FEB0064"/>
    <w:multiLevelType w:val="hybridMultilevel"/>
    <w:tmpl w:val="1D9E7A32"/>
    <w:lvl w:ilvl="0" w:tplc="31E0DE46">
      <w:start w:val="1"/>
      <w:numFmt w:val="bullet"/>
      <w:pStyle w:val="MarcadorA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14602BE"/>
    <w:multiLevelType w:val="multilevel"/>
    <w:tmpl w:val="C05ABA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673F36B2"/>
    <w:multiLevelType w:val="hybridMultilevel"/>
    <w:tmpl w:val="96FA6CE2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FC6DF0"/>
    <w:multiLevelType w:val="multilevel"/>
    <w:tmpl w:val="6DCEDF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D7E1B42"/>
    <w:multiLevelType w:val="hybridMultilevel"/>
    <w:tmpl w:val="BD3C3184"/>
    <w:lvl w:ilvl="0" w:tplc="2152B308">
      <w:start w:val="8"/>
      <w:numFmt w:val="decimalZero"/>
      <w:lvlText w:val="%1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5"/>
  </w:num>
  <w:num w:numId="5">
    <w:abstractNumId w:val="16"/>
  </w:num>
  <w:num w:numId="6">
    <w:abstractNumId w:val="7"/>
  </w:num>
  <w:num w:numId="7">
    <w:abstractNumId w:val="3"/>
  </w:num>
  <w:num w:numId="8">
    <w:abstractNumId w:val="8"/>
  </w:num>
  <w:num w:numId="9">
    <w:abstractNumId w:val="12"/>
  </w:num>
  <w:num w:numId="10">
    <w:abstractNumId w:val="15"/>
  </w:num>
  <w:num w:numId="11">
    <w:abstractNumId w:val="1"/>
  </w:num>
  <w:num w:numId="12">
    <w:abstractNumId w:val="4"/>
  </w:num>
  <w:num w:numId="13">
    <w:abstractNumId w:val="11"/>
  </w:num>
  <w:num w:numId="14">
    <w:abstractNumId w:val="14"/>
  </w:num>
  <w:num w:numId="15">
    <w:abstractNumId w:val="0"/>
  </w:num>
  <w:num w:numId="16">
    <w:abstractNumId w:val="6"/>
  </w:num>
  <w:num w:numId="17">
    <w:abstractNumId w:val="9"/>
  </w:num>
  <w:num w:numId="18">
    <w:abstractNumId w:val="17"/>
  </w:num>
  <w:num w:numId="19">
    <w:abstractNumId w:val="2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EED"/>
    <w:rsid w:val="00015975"/>
    <w:rsid w:val="000170C4"/>
    <w:rsid w:val="0002091D"/>
    <w:rsid w:val="00021F0D"/>
    <w:rsid w:val="00023562"/>
    <w:rsid w:val="000831AE"/>
    <w:rsid w:val="000850BC"/>
    <w:rsid w:val="00090B5D"/>
    <w:rsid w:val="00093BD3"/>
    <w:rsid w:val="000A2B28"/>
    <w:rsid w:val="000B30A4"/>
    <w:rsid w:val="000C3ADD"/>
    <w:rsid w:val="000C3D09"/>
    <w:rsid w:val="000D3DD7"/>
    <w:rsid w:val="000F3746"/>
    <w:rsid w:val="00104F8D"/>
    <w:rsid w:val="00111DEB"/>
    <w:rsid w:val="00125037"/>
    <w:rsid w:val="00125444"/>
    <w:rsid w:val="00125D1D"/>
    <w:rsid w:val="001305B7"/>
    <w:rsid w:val="0013271E"/>
    <w:rsid w:val="00132B97"/>
    <w:rsid w:val="00133800"/>
    <w:rsid w:val="00147139"/>
    <w:rsid w:val="0015579B"/>
    <w:rsid w:val="00162881"/>
    <w:rsid w:val="00163C67"/>
    <w:rsid w:val="00165C1C"/>
    <w:rsid w:val="001917E0"/>
    <w:rsid w:val="0019433C"/>
    <w:rsid w:val="001944CA"/>
    <w:rsid w:val="0020236A"/>
    <w:rsid w:val="002028D5"/>
    <w:rsid w:val="00202E95"/>
    <w:rsid w:val="00213ED8"/>
    <w:rsid w:val="002228F2"/>
    <w:rsid w:val="002267C6"/>
    <w:rsid w:val="0023677F"/>
    <w:rsid w:val="002408FC"/>
    <w:rsid w:val="00247ED8"/>
    <w:rsid w:val="00265DE8"/>
    <w:rsid w:val="00277255"/>
    <w:rsid w:val="00284B99"/>
    <w:rsid w:val="00290099"/>
    <w:rsid w:val="002A01D9"/>
    <w:rsid w:val="002A22BB"/>
    <w:rsid w:val="002B7C43"/>
    <w:rsid w:val="002C3C31"/>
    <w:rsid w:val="002D43EF"/>
    <w:rsid w:val="00315A75"/>
    <w:rsid w:val="0031782F"/>
    <w:rsid w:val="003562C5"/>
    <w:rsid w:val="00360189"/>
    <w:rsid w:val="00367A27"/>
    <w:rsid w:val="00385ABB"/>
    <w:rsid w:val="00386945"/>
    <w:rsid w:val="00387EDF"/>
    <w:rsid w:val="00392936"/>
    <w:rsid w:val="003930E2"/>
    <w:rsid w:val="003A0924"/>
    <w:rsid w:val="003A3D87"/>
    <w:rsid w:val="003A63D8"/>
    <w:rsid w:val="003C7DA3"/>
    <w:rsid w:val="004108CC"/>
    <w:rsid w:val="00411612"/>
    <w:rsid w:val="00416E71"/>
    <w:rsid w:val="00421A8F"/>
    <w:rsid w:val="004301FD"/>
    <w:rsid w:val="004353BC"/>
    <w:rsid w:val="00436B00"/>
    <w:rsid w:val="00451704"/>
    <w:rsid w:val="0046252D"/>
    <w:rsid w:val="00471423"/>
    <w:rsid w:val="004813BE"/>
    <w:rsid w:val="00482442"/>
    <w:rsid w:val="004A21A8"/>
    <w:rsid w:val="004C036C"/>
    <w:rsid w:val="004C7697"/>
    <w:rsid w:val="004D1801"/>
    <w:rsid w:val="004D49A5"/>
    <w:rsid w:val="004D7313"/>
    <w:rsid w:val="004E155F"/>
    <w:rsid w:val="004E3BA2"/>
    <w:rsid w:val="004F3E40"/>
    <w:rsid w:val="00506470"/>
    <w:rsid w:val="00507E75"/>
    <w:rsid w:val="00534FBE"/>
    <w:rsid w:val="00546367"/>
    <w:rsid w:val="00556CFD"/>
    <w:rsid w:val="00565C83"/>
    <w:rsid w:val="00581B08"/>
    <w:rsid w:val="00582B91"/>
    <w:rsid w:val="00582FAC"/>
    <w:rsid w:val="00585BFD"/>
    <w:rsid w:val="005B0DE3"/>
    <w:rsid w:val="005C5ACE"/>
    <w:rsid w:val="005E69F7"/>
    <w:rsid w:val="0060046E"/>
    <w:rsid w:val="006033B8"/>
    <w:rsid w:val="00620373"/>
    <w:rsid w:val="006522CA"/>
    <w:rsid w:val="00657CFA"/>
    <w:rsid w:val="00680704"/>
    <w:rsid w:val="00682759"/>
    <w:rsid w:val="00695C35"/>
    <w:rsid w:val="00697598"/>
    <w:rsid w:val="006C23AB"/>
    <w:rsid w:val="006D1E3A"/>
    <w:rsid w:val="006D2671"/>
    <w:rsid w:val="00700952"/>
    <w:rsid w:val="0071500E"/>
    <w:rsid w:val="00745D0E"/>
    <w:rsid w:val="00762A86"/>
    <w:rsid w:val="007752B0"/>
    <w:rsid w:val="007844A5"/>
    <w:rsid w:val="007A4C9B"/>
    <w:rsid w:val="007A7CFB"/>
    <w:rsid w:val="007C0F05"/>
    <w:rsid w:val="007C5A62"/>
    <w:rsid w:val="007D3C42"/>
    <w:rsid w:val="007D6EAF"/>
    <w:rsid w:val="00801FEF"/>
    <w:rsid w:val="00802CFF"/>
    <w:rsid w:val="008147C5"/>
    <w:rsid w:val="008348C3"/>
    <w:rsid w:val="008631D6"/>
    <w:rsid w:val="00864B78"/>
    <w:rsid w:val="008658D4"/>
    <w:rsid w:val="008676BE"/>
    <w:rsid w:val="008712E8"/>
    <w:rsid w:val="0087664D"/>
    <w:rsid w:val="00877890"/>
    <w:rsid w:val="008A2D9E"/>
    <w:rsid w:val="008A44D7"/>
    <w:rsid w:val="008A7438"/>
    <w:rsid w:val="008B0C54"/>
    <w:rsid w:val="008C0833"/>
    <w:rsid w:val="008C2150"/>
    <w:rsid w:val="008D3377"/>
    <w:rsid w:val="008D445C"/>
    <w:rsid w:val="008D464A"/>
    <w:rsid w:val="008D7232"/>
    <w:rsid w:val="008E041A"/>
    <w:rsid w:val="0091067A"/>
    <w:rsid w:val="00914BDE"/>
    <w:rsid w:val="00924D05"/>
    <w:rsid w:val="00926673"/>
    <w:rsid w:val="00931210"/>
    <w:rsid w:val="00937285"/>
    <w:rsid w:val="00940D2F"/>
    <w:rsid w:val="00943036"/>
    <w:rsid w:val="00944F74"/>
    <w:rsid w:val="00947DE7"/>
    <w:rsid w:val="0095278D"/>
    <w:rsid w:val="00965BAD"/>
    <w:rsid w:val="009660DE"/>
    <w:rsid w:val="009838DD"/>
    <w:rsid w:val="00993A9E"/>
    <w:rsid w:val="00997570"/>
    <w:rsid w:val="009A2F37"/>
    <w:rsid w:val="009A344A"/>
    <w:rsid w:val="009A5E84"/>
    <w:rsid w:val="009B6C13"/>
    <w:rsid w:val="009B75E4"/>
    <w:rsid w:val="009C108E"/>
    <w:rsid w:val="009C728E"/>
    <w:rsid w:val="009D7047"/>
    <w:rsid w:val="009E1981"/>
    <w:rsid w:val="009E2968"/>
    <w:rsid w:val="009E45AB"/>
    <w:rsid w:val="009F5FF2"/>
    <w:rsid w:val="00A26AC2"/>
    <w:rsid w:val="00A46BE4"/>
    <w:rsid w:val="00A52D55"/>
    <w:rsid w:val="00A56935"/>
    <w:rsid w:val="00A665F8"/>
    <w:rsid w:val="00A73E7E"/>
    <w:rsid w:val="00A8495D"/>
    <w:rsid w:val="00AA067E"/>
    <w:rsid w:val="00AA0AB9"/>
    <w:rsid w:val="00AA1BAF"/>
    <w:rsid w:val="00AA7888"/>
    <w:rsid w:val="00AE59BF"/>
    <w:rsid w:val="00AF6B34"/>
    <w:rsid w:val="00AF7474"/>
    <w:rsid w:val="00B14429"/>
    <w:rsid w:val="00B456A5"/>
    <w:rsid w:val="00B62EED"/>
    <w:rsid w:val="00B956E6"/>
    <w:rsid w:val="00BE5B92"/>
    <w:rsid w:val="00BF4897"/>
    <w:rsid w:val="00C0361F"/>
    <w:rsid w:val="00C07F70"/>
    <w:rsid w:val="00C10081"/>
    <w:rsid w:val="00C17BA6"/>
    <w:rsid w:val="00C23075"/>
    <w:rsid w:val="00C23689"/>
    <w:rsid w:val="00C45126"/>
    <w:rsid w:val="00C468A6"/>
    <w:rsid w:val="00C50359"/>
    <w:rsid w:val="00C515B5"/>
    <w:rsid w:val="00C64001"/>
    <w:rsid w:val="00C70F49"/>
    <w:rsid w:val="00C7514A"/>
    <w:rsid w:val="00CA059C"/>
    <w:rsid w:val="00CA408A"/>
    <w:rsid w:val="00CD6C71"/>
    <w:rsid w:val="00CF1D65"/>
    <w:rsid w:val="00CF4A49"/>
    <w:rsid w:val="00D24B3E"/>
    <w:rsid w:val="00D3385E"/>
    <w:rsid w:val="00D55042"/>
    <w:rsid w:val="00D64FFC"/>
    <w:rsid w:val="00D6509E"/>
    <w:rsid w:val="00D708D3"/>
    <w:rsid w:val="00D87888"/>
    <w:rsid w:val="00D926C3"/>
    <w:rsid w:val="00D930C5"/>
    <w:rsid w:val="00DA10FB"/>
    <w:rsid w:val="00DB2C20"/>
    <w:rsid w:val="00DC7F9C"/>
    <w:rsid w:val="00DD537B"/>
    <w:rsid w:val="00DF009E"/>
    <w:rsid w:val="00DF0E5D"/>
    <w:rsid w:val="00DF324A"/>
    <w:rsid w:val="00E00223"/>
    <w:rsid w:val="00E00555"/>
    <w:rsid w:val="00E01C01"/>
    <w:rsid w:val="00E05056"/>
    <w:rsid w:val="00E14C31"/>
    <w:rsid w:val="00E15B9D"/>
    <w:rsid w:val="00E27E75"/>
    <w:rsid w:val="00E713A7"/>
    <w:rsid w:val="00E77B37"/>
    <w:rsid w:val="00E85155"/>
    <w:rsid w:val="00E93BCC"/>
    <w:rsid w:val="00EB4018"/>
    <w:rsid w:val="00EB485B"/>
    <w:rsid w:val="00EC7B64"/>
    <w:rsid w:val="00EE0AC6"/>
    <w:rsid w:val="00EE291F"/>
    <w:rsid w:val="00EE55A7"/>
    <w:rsid w:val="00EF1BEC"/>
    <w:rsid w:val="00F011AB"/>
    <w:rsid w:val="00F119CD"/>
    <w:rsid w:val="00F14D09"/>
    <w:rsid w:val="00F15643"/>
    <w:rsid w:val="00F40B83"/>
    <w:rsid w:val="00F421B9"/>
    <w:rsid w:val="00F434AB"/>
    <w:rsid w:val="00F43748"/>
    <w:rsid w:val="00F44E9C"/>
    <w:rsid w:val="00F74D3B"/>
    <w:rsid w:val="00F87B67"/>
    <w:rsid w:val="00F93A9E"/>
    <w:rsid w:val="00FB4FE6"/>
    <w:rsid w:val="00FB52EC"/>
    <w:rsid w:val="00FC3952"/>
    <w:rsid w:val="00FD71E1"/>
    <w:rsid w:val="00FD7D41"/>
    <w:rsid w:val="00FE1258"/>
    <w:rsid w:val="00FE5D5E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BA78F"/>
  <w15:docId w15:val="{D427F5F6-E108-43C0-BAD1-E88ADC3D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F754F"/>
    <w:rPr>
      <w:rFonts w:ascii="Segoe UI" w:hAnsi="Segoe UI"/>
    </w:rPr>
  </w:style>
  <w:style w:type="paragraph" w:styleId="Ttulo1">
    <w:name w:val="heading 1"/>
    <w:basedOn w:val="Normal"/>
    <w:next w:val="Normal"/>
    <w:link w:val="Ttulo1Char"/>
    <w:uiPriority w:val="9"/>
    <w:rsid w:val="00E002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264C" w:themeColor="accent1" w:themeShade="BF"/>
      <w:sz w:val="32"/>
      <w:szCs w:val="32"/>
    </w:rPr>
  </w:style>
  <w:style w:type="paragraph" w:styleId="Ttulo6">
    <w:name w:val="heading 6"/>
    <w:basedOn w:val="Normal"/>
    <w:link w:val="Ttulo6Char"/>
    <w:uiPriority w:val="9"/>
    <w:rsid w:val="0095278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link w:val="DefaultChar"/>
    <w:rsid w:val="00B62EE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B62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Texto Parágrafo"/>
    <w:basedOn w:val="Default"/>
    <w:link w:val="PargrafodaListaChar"/>
    <w:uiPriority w:val="34"/>
    <w:qFormat/>
    <w:rsid w:val="00C0361F"/>
    <w:pPr>
      <w:spacing w:after="160"/>
      <w:ind w:left="357"/>
      <w:jc w:val="both"/>
    </w:pPr>
    <w:rPr>
      <w:rFonts w:ascii="Segoe UI" w:hAnsi="Segoe UI" w:cs="Segoe UI"/>
      <w:sz w:val="22"/>
      <w:szCs w:val="22"/>
    </w:rPr>
  </w:style>
  <w:style w:type="character" w:customStyle="1" w:styleId="PargrafodaListaChar">
    <w:name w:val="Parágrafo da Lista Char"/>
    <w:aliases w:val="Texto Parágrafo Char"/>
    <w:basedOn w:val="Fontepargpadro"/>
    <w:link w:val="PargrafodaLista"/>
    <w:uiPriority w:val="34"/>
    <w:rsid w:val="00C0361F"/>
    <w:rPr>
      <w:rFonts w:ascii="Segoe UI" w:hAnsi="Segoe UI" w:cs="Segoe UI"/>
      <w:color w:val="000000"/>
    </w:rPr>
  </w:style>
  <w:style w:type="paragraph" w:styleId="Cabealho">
    <w:name w:val="header"/>
    <w:basedOn w:val="Normal"/>
    <w:link w:val="CabealhoChar"/>
    <w:unhideWhenUsed/>
    <w:rsid w:val="00B62E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62EED"/>
  </w:style>
  <w:style w:type="paragraph" w:styleId="Rodap">
    <w:name w:val="footer"/>
    <w:basedOn w:val="Normal"/>
    <w:link w:val="RodapChar"/>
    <w:uiPriority w:val="99"/>
    <w:unhideWhenUsed/>
    <w:rsid w:val="00B62E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62EED"/>
  </w:style>
  <w:style w:type="paragraph" w:styleId="Corpodetexto">
    <w:name w:val="Body Text"/>
    <w:basedOn w:val="Normal"/>
    <w:link w:val="CorpodetextoChar"/>
    <w:unhideWhenUsed/>
    <w:rsid w:val="00B62E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B62EED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customStyle="1" w:styleId="Item00">
    <w:name w:val="Item 0.0"/>
    <w:basedOn w:val="PargrafodaLista"/>
    <w:next w:val="Textos"/>
    <w:link w:val="Item00Char"/>
    <w:qFormat/>
    <w:rsid w:val="00D3385E"/>
    <w:pPr>
      <w:numPr>
        <w:ilvl w:val="1"/>
        <w:numId w:val="2"/>
      </w:numPr>
      <w:ind w:left="426" w:hanging="426"/>
      <w:outlineLvl w:val="2"/>
    </w:pPr>
  </w:style>
  <w:style w:type="character" w:customStyle="1" w:styleId="Item00Char">
    <w:name w:val="Item 0.0 Char"/>
    <w:basedOn w:val="PargrafodaListaChar"/>
    <w:link w:val="Item00"/>
    <w:rsid w:val="00D3385E"/>
    <w:rPr>
      <w:rFonts w:ascii="Segoe UI" w:hAnsi="Segoe UI" w:cs="Segoe UI"/>
      <w:color w:val="000000"/>
    </w:rPr>
  </w:style>
  <w:style w:type="table" w:customStyle="1" w:styleId="TabelaSimples41">
    <w:name w:val="Tabela Simples 41"/>
    <w:basedOn w:val="Tabelanormal"/>
    <w:uiPriority w:val="44"/>
    <w:rsid w:val="009B75E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MarcadorA">
    <w:name w:val="Marcador A"/>
    <w:basedOn w:val="PargrafodaLista"/>
    <w:link w:val="MarcadorAChar"/>
    <w:qFormat/>
    <w:rsid w:val="00C0361F"/>
    <w:pPr>
      <w:numPr>
        <w:numId w:val="1"/>
      </w:numPr>
      <w:spacing w:after="120"/>
      <w:ind w:left="709" w:hanging="357"/>
    </w:pPr>
  </w:style>
  <w:style w:type="paragraph" w:customStyle="1" w:styleId="TtulosA">
    <w:name w:val="Títulos A"/>
    <w:basedOn w:val="Item00"/>
    <w:link w:val="TtulosAChar"/>
    <w:qFormat/>
    <w:rsid w:val="005E69F7"/>
    <w:pPr>
      <w:numPr>
        <w:ilvl w:val="0"/>
      </w:numPr>
      <w:ind w:left="357" w:hanging="357"/>
      <w:outlineLvl w:val="1"/>
    </w:pPr>
    <w:rPr>
      <w:b/>
      <w:bCs/>
    </w:rPr>
  </w:style>
  <w:style w:type="character" w:customStyle="1" w:styleId="MarcadorAChar">
    <w:name w:val="Marcador A Char"/>
    <w:basedOn w:val="PargrafodaListaChar"/>
    <w:link w:val="MarcadorA"/>
    <w:rsid w:val="00C0361F"/>
    <w:rPr>
      <w:rFonts w:ascii="Segoe UI" w:hAnsi="Segoe UI" w:cs="Segoe UI"/>
      <w:color w:val="000000"/>
    </w:rPr>
  </w:style>
  <w:style w:type="character" w:customStyle="1" w:styleId="TtulosAChar">
    <w:name w:val="Títulos A Char"/>
    <w:basedOn w:val="Item00Char"/>
    <w:link w:val="TtulosA"/>
    <w:rsid w:val="005E69F7"/>
    <w:rPr>
      <w:rFonts w:ascii="Segoe UI" w:hAnsi="Segoe UI" w:cs="Segoe UI"/>
      <w:b/>
      <w:bCs/>
      <w:color w:val="000000"/>
    </w:rPr>
  </w:style>
  <w:style w:type="character" w:customStyle="1" w:styleId="Ttulo6Char">
    <w:name w:val="Título 6 Char"/>
    <w:basedOn w:val="Fontepargpadro"/>
    <w:link w:val="Ttulo6"/>
    <w:uiPriority w:val="9"/>
    <w:rsid w:val="0095278D"/>
    <w:rPr>
      <w:rFonts w:ascii="Times New Roman" w:eastAsia="Times New Roman" w:hAnsi="Times New Roman" w:cs="Times New Roman"/>
      <w:b/>
      <w:bCs/>
      <w:sz w:val="15"/>
      <w:szCs w:val="15"/>
      <w:lang w:eastAsia="pt-BR"/>
    </w:rPr>
  </w:style>
  <w:style w:type="character" w:styleId="Forte">
    <w:name w:val="Strong"/>
    <w:basedOn w:val="Fontepargpadro"/>
    <w:uiPriority w:val="22"/>
    <w:rsid w:val="0095278D"/>
    <w:rPr>
      <w:b/>
      <w:bCs/>
    </w:rPr>
  </w:style>
  <w:style w:type="paragraph" w:customStyle="1" w:styleId="MarcadorB">
    <w:name w:val="Marcador B"/>
    <w:link w:val="MarcadorBChar"/>
    <w:qFormat/>
    <w:rsid w:val="00CA059C"/>
    <w:pPr>
      <w:numPr>
        <w:numId w:val="3"/>
      </w:numPr>
      <w:jc w:val="both"/>
    </w:pPr>
    <w:rPr>
      <w:rFonts w:ascii="Segoe UI" w:hAnsi="Segoe UI" w:cs="Segoe UI"/>
      <w:color w:val="000000"/>
    </w:rPr>
  </w:style>
  <w:style w:type="paragraph" w:customStyle="1" w:styleId="Item000">
    <w:name w:val="Item 0.00"/>
    <w:basedOn w:val="Item00"/>
    <w:link w:val="Item000Char"/>
    <w:qFormat/>
    <w:rsid w:val="00D3385E"/>
    <w:pPr>
      <w:ind w:left="567" w:hanging="567"/>
    </w:pPr>
  </w:style>
  <w:style w:type="character" w:customStyle="1" w:styleId="MarcadorBChar">
    <w:name w:val="Marcador B Char"/>
    <w:basedOn w:val="MarcadorAChar"/>
    <w:link w:val="MarcadorB"/>
    <w:rsid w:val="00CA059C"/>
    <w:rPr>
      <w:rFonts w:ascii="Segoe UI" w:hAnsi="Segoe UI" w:cs="Segoe UI"/>
      <w:color w:val="000000"/>
    </w:rPr>
  </w:style>
  <w:style w:type="character" w:customStyle="1" w:styleId="Item000Char">
    <w:name w:val="Item 0.00 Char"/>
    <w:basedOn w:val="Item00Char"/>
    <w:link w:val="Item000"/>
    <w:rsid w:val="00D3385E"/>
    <w:rPr>
      <w:rFonts w:ascii="Segoe UI" w:hAnsi="Segoe UI" w:cs="Segoe UI"/>
      <w:color w:val="000000"/>
    </w:rPr>
  </w:style>
  <w:style w:type="character" w:styleId="Refdecomentrio">
    <w:name w:val="annotation reference"/>
    <w:basedOn w:val="Fontepargpadro"/>
    <w:uiPriority w:val="99"/>
    <w:semiHidden/>
    <w:unhideWhenUsed/>
    <w:rsid w:val="00A46B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46B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46BE4"/>
    <w:rPr>
      <w:rFonts w:ascii="Segoe UI" w:hAnsi="Segoe U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46B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46BE4"/>
    <w:rPr>
      <w:rFonts w:ascii="Segoe UI" w:hAnsi="Segoe UI"/>
      <w:b/>
      <w:bCs/>
      <w:sz w:val="20"/>
      <w:szCs w:val="20"/>
    </w:rPr>
  </w:style>
  <w:style w:type="paragraph" w:customStyle="1" w:styleId="TtulosB">
    <w:name w:val="Títulos B"/>
    <w:basedOn w:val="Default"/>
    <w:link w:val="TtulosBChar"/>
    <w:qFormat/>
    <w:rsid w:val="004D1801"/>
    <w:pPr>
      <w:numPr>
        <w:numId w:val="4"/>
      </w:numPr>
      <w:spacing w:line="360" w:lineRule="auto"/>
      <w:ind w:left="425" w:hanging="425"/>
      <w:jc w:val="both"/>
      <w:outlineLvl w:val="0"/>
    </w:pPr>
    <w:rPr>
      <w:rFonts w:ascii="Segoe UI" w:hAnsi="Segoe UI" w:cs="Segoe UI"/>
      <w:b/>
      <w:bCs/>
      <w:sz w:val="22"/>
      <w:szCs w:val="22"/>
    </w:rPr>
  </w:style>
  <w:style w:type="character" w:customStyle="1" w:styleId="Ttulo1Char">
    <w:name w:val="Título 1 Char"/>
    <w:basedOn w:val="Fontepargpadro"/>
    <w:link w:val="Ttulo1"/>
    <w:uiPriority w:val="9"/>
    <w:rsid w:val="00E00223"/>
    <w:rPr>
      <w:rFonts w:asciiTheme="majorHAnsi" w:eastAsiaTheme="majorEastAsia" w:hAnsiTheme="majorHAnsi" w:cstheme="majorBidi"/>
      <w:color w:val="00264C" w:themeColor="accent1" w:themeShade="BF"/>
      <w:sz w:val="32"/>
      <w:szCs w:val="32"/>
    </w:rPr>
  </w:style>
  <w:style w:type="character" w:customStyle="1" w:styleId="DefaultChar">
    <w:name w:val="Default Char"/>
    <w:basedOn w:val="Fontepargpadro"/>
    <w:link w:val="Default"/>
    <w:rsid w:val="008B0C54"/>
    <w:rPr>
      <w:rFonts w:ascii="Arial" w:hAnsi="Arial" w:cs="Arial"/>
      <w:color w:val="000000"/>
      <w:sz w:val="24"/>
      <w:szCs w:val="24"/>
    </w:rPr>
  </w:style>
  <w:style w:type="character" w:customStyle="1" w:styleId="TtulosBChar">
    <w:name w:val="Títulos B Char"/>
    <w:basedOn w:val="DefaultChar"/>
    <w:link w:val="TtulosB"/>
    <w:rsid w:val="004D1801"/>
    <w:rPr>
      <w:rFonts w:ascii="Segoe UI" w:hAnsi="Segoe UI" w:cs="Segoe UI"/>
      <w:b/>
      <w:bCs/>
      <w:color w:val="000000"/>
      <w:sz w:val="24"/>
      <w:szCs w:val="24"/>
    </w:rPr>
  </w:style>
  <w:style w:type="paragraph" w:styleId="CabealhodoSumrio">
    <w:name w:val="TOC Heading"/>
    <w:basedOn w:val="PargrafodaLista"/>
    <w:next w:val="Normal"/>
    <w:uiPriority w:val="39"/>
    <w:unhideWhenUsed/>
    <w:rsid w:val="00DF009E"/>
    <w:pPr>
      <w:spacing w:after="0"/>
      <w:jc w:val="center"/>
    </w:pPr>
  </w:style>
  <w:style w:type="paragraph" w:styleId="Sumrio2">
    <w:name w:val="toc 2"/>
    <w:basedOn w:val="Normal"/>
    <w:next w:val="Normal"/>
    <w:autoRedefine/>
    <w:uiPriority w:val="39"/>
    <w:unhideWhenUsed/>
    <w:rsid w:val="00E00223"/>
    <w:pPr>
      <w:spacing w:after="100"/>
      <w:ind w:left="220"/>
    </w:pPr>
    <w:rPr>
      <w:rFonts w:asciiTheme="minorHAnsi" w:eastAsiaTheme="minorEastAsia" w:hAnsiTheme="minorHAnsi" w:cs="Times New Roman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C0361F"/>
    <w:pPr>
      <w:tabs>
        <w:tab w:val="left" w:pos="440"/>
        <w:tab w:val="right" w:leader="dot" w:pos="9736"/>
      </w:tabs>
      <w:spacing w:after="100"/>
    </w:pPr>
    <w:rPr>
      <w:rFonts w:asciiTheme="minorHAnsi" w:eastAsiaTheme="minorEastAsia" w:hAnsiTheme="minorHAnsi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E00223"/>
    <w:pPr>
      <w:spacing w:after="100"/>
      <w:ind w:left="440"/>
    </w:pPr>
    <w:rPr>
      <w:rFonts w:asciiTheme="minorHAnsi" w:eastAsiaTheme="minorEastAsia" w:hAnsiTheme="minorHAnsi" w:cs="Times New Roman"/>
      <w:lang w:eastAsia="pt-BR"/>
    </w:rPr>
  </w:style>
  <w:style w:type="character" w:styleId="Hyperlink">
    <w:name w:val="Hyperlink"/>
    <w:basedOn w:val="Fontepargpadro"/>
    <w:uiPriority w:val="99"/>
    <w:unhideWhenUsed/>
    <w:rsid w:val="0002091D"/>
    <w:rPr>
      <w:color w:val="398F98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87EDF"/>
    <w:pPr>
      <w:spacing w:after="0" w:line="240" w:lineRule="auto"/>
    </w:pPr>
    <w:rPr>
      <w:rFonts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7EDF"/>
    <w:rPr>
      <w:rFonts w:ascii="Segoe UI" w:hAnsi="Segoe UI" w:cs="Segoe UI"/>
      <w:sz w:val="18"/>
      <w:szCs w:val="18"/>
    </w:rPr>
  </w:style>
  <w:style w:type="character" w:customStyle="1" w:styleId="il">
    <w:name w:val="il"/>
    <w:basedOn w:val="Fontepargpadro"/>
    <w:rsid w:val="00387EDF"/>
  </w:style>
  <w:style w:type="paragraph" w:customStyle="1" w:styleId="Textos">
    <w:name w:val="Textos"/>
    <w:basedOn w:val="Normal"/>
    <w:link w:val="TextosChar"/>
    <w:qFormat/>
    <w:rsid w:val="002267C6"/>
    <w:pPr>
      <w:jc w:val="both"/>
    </w:pPr>
  </w:style>
  <w:style w:type="character" w:customStyle="1" w:styleId="TextosChar">
    <w:name w:val="Textos Char"/>
    <w:basedOn w:val="Fontepargpadro"/>
    <w:link w:val="Textos"/>
    <w:rsid w:val="002267C6"/>
    <w:rPr>
      <w:rFonts w:ascii="Segoe UI" w:hAnsi="Segoe UI"/>
    </w:rPr>
  </w:style>
  <w:style w:type="table" w:customStyle="1" w:styleId="TabeladeGrade2-nfase41">
    <w:name w:val="Tabela de Grade 2 - Ênfase 41"/>
    <w:basedOn w:val="Tabelanormal"/>
    <w:uiPriority w:val="47"/>
    <w:rsid w:val="00C10081"/>
    <w:pPr>
      <w:spacing w:after="0" w:line="240" w:lineRule="auto"/>
    </w:pPr>
    <w:tblPr>
      <w:tblStyleRowBandSize w:val="1"/>
      <w:tblStyleColBandSize w:val="1"/>
      <w:tblBorders>
        <w:top w:val="single" w:sz="2" w:space="0" w:color="AFB9BB" w:themeColor="accent4" w:themeTint="99"/>
        <w:bottom w:val="single" w:sz="2" w:space="0" w:color="AFB9BB" w:themeColor="accent4" w:themeTint="99"/>
        <w:insideH w:val="single" w:sz="2" w:space="0" w:color="AFB9BB" w:themeColor="accent4" w:themeTint="99"/>
        <w:insideV w:val="single" w:sz="2" w:space="0" w:color="AFB9B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B9B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B9B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7E8" w:themeFill="accent4" w:themeFillTint="33"/>
      </w:tcPr>
    </w:tblStylePr>
    <w:tblStylePr w:type="band1Horz">
      <w:tblPr/>
      <w:tcPr>
        <w:shd w:val="clear" w:color="auto" w:fill="E4E7E8" w:themeFill="accent4" w:themeFillTint="33"/>
      </w:tcPr>
    </w:tblStylePr>
  </w:style>
  <w:style w:type="table" w:customStyle="1" w:styleId="TabeladeGrade6Colorida-nfase41">
    <w:name w:val="Tabela de Grade 6 Colorida - Ênfase 41"/>
    <w:basedOn w:val="Tabelanormal"/>
    <w:uiPriority w:val="51"/>
    <w:rsid w:val="00C10081"/>
    <w:pPr>
      <w:spacing w:after="0" w:line="240" w:lineRule="auto"/>
    </w:pPr>
    <w:rPr>
      <w:color w:val="5A696A" w:themeColor="accent4" w:themeShade="BF"/>
    </w:rPr>
    <w:tblPr>
      <w:tblStyleRowBandSize w:val="1"/>
      <w:tblStyleColBandSize w:val="1"/>
      <w:tblBorders>
        <w:top w:val="single" w:sz="4" w:space="0" w:color="AFB9BB" w:themeColor="accent4" w:themeTint="99"/>
        <w:left w:val="single" w:sz="4" w:space="0" w:color="AFB9BB" w:themeColor="accent4" w:themeTint="99"/>
        <w:bottom w:val="single" w:sz="4" w:space="0" w:color="AFB9BB" w:themeColor="accent4" w:themeTint="99"/>
        <w:right w:val="single" w:sz="4" w:space="0" w:color="AFB9BB" w:themeColor="accent4" w:themeTint="99"/>
        <w:insideH w:val="single" w:sz="4" w:space="0" w:color="AFB9BB" w:themeColor="accent4" w:themeTint="99"/>
        <w:insideV w:val="single" w:sz="4" w:space="0" w:color="AFB9B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AFB9B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B9B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7E8" w:themeFill="accent4" w:themeFillTint="33"/>
      </w:tcPr>
    </w:tblStylePr>
    <w:tblStylePr w:type="band1Horz">
      <w:tblPr/>
      <w:tcPr>
        <w:shd w:val="clear" w:color="auto" w:fill="E4E7E8" w:themeFill="accent4" w:themeFillTint="33"/>
      </w:tcPr>
    </w:tblStylePr>
  </w:style>
  <w:style w:type="table" w:customStyle="1" w:styleId="TabeladeGrade7Colorida-nfase61">
    <w:name w:val="Tabela de Grade 7 Colorida - Ênfase 61"/>
    <w:basedOn w:val="Tabelanormal"/>
    <w:uiPriority w:val="52"/>
    <w:rsid w:val="00C10081"/>
    <w:pPr>
      <w:spacing w:after="0" w:line="240" w:lineRule="auto"/>
    </w:pPr>
    <w:rPr>
      <w:color w:val="264C72" w:themeColor="accent6" w:themeShade="BF"/>
    </w:rPr>
    <w:tblPr>
      <w:tblStyleRowBandSize w:val="1"/>
      <w:tblStyleColBandSize w:val="1"/>
      <w:tblBorders>
        <w:top w:val="single" w:sz="4" w:space="0" w:color="75A2D1" w:themeColor="accent6" w:themeTint="99"/>
        <w:left w:val="single" w:sz="4" w:space="0" w:color="75A2D1" w:themeColor="accent6" w:themeTint="99"/>
        <w:bottom w:val="single" w:sz="4" w:space="0" w:color="75A2D1" w:themeColor="accent6" w:themeTint="99"/>
        <w:right w:val="single" w:sz="4" w:space="0" w:color="75A2D1" w:themeColor="accent6" w:themeTint="99"/>
        <w:insideH w:val="single" w:sz="4" w:space="0" w:color="75A2D1" w:themeColor="accent6" w:themeTint="99"/>
        <w:insideV w:val="single" w:sz="4" w:space="0" w:color="75A2D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E0EF" w:themeFill="accent6" w:themeFillTint="33"/>
      </w:tcPr>
    </w:tblStylePr>
    <w:tblStylePr w:type="band1Horz">
      <w:tblPr/>
      <w:tcPr>
        <w:shd w:val="clear" w:color="auto" w:fill="D1E0EF" w:themeFill="accent6" w:themeFillTint="33"/>
      </w:tcPr>
    </w:tblStylePr>
    <w:tblStylePr w:type="neCell">
      <w:tblPr/>
      <w:tcPr>
        <w:tcBorders>
          <w:bottom w:val="single" w:sz="4" w:space="0" w:color="75A2D1" w:themeColor="accent6" w:themeTint="99"/>
        </w:tcBorders>
      </w:tcPr>
    </w:tblStylePr>
    <w:tblStylePr w:type="nwCell">
      <w:tblPr/>
      <w:tcPr>
        <w:tcBorders>
          <w:bottom w:val="single" w:sz="4" w:space="0" w:color="75A2D1" w:themeColor="accent6" w:themeTint="99"/>
        </w:tcBorders>
      </w:tcPr>
    </w:tblStylePr>
    <w:tblStylePr w:type="seCell">
      <w:tblPr/>
      <w:tcPr>
        <w:tcBorders>
          <w:top w:val="single" w:sz="4" w:space="0" w:color="75A2D1" w:themeColor="accent6" w:themeTint="99"/>
        </w:tcBorders>
      </w:tcPr>
    </w:tblStylePr>
    <w:tblStylePr w:type="swCell">
      <w:tblPr/>
      <w:tcPr>
        <w:tcBorders>
          <w:top w:val="single" w:sz="4" w:space="0" w:color="75A2D1" w:themeColor="accent6" w:themeTint="99"/>
        </w:tcBorders>
      </w:tcPr>
    </w:tblStylePr>
  </w:style>
  <w:style w:type="table" w:customStyle="1" w:styleId="TabeladeGrade1Clara1">
    <w:name w:val="Tabela de Grade 1 Clara1"/>
    <w:basedOn w:val="Tabelanormal"/>
    <w:uiPriority w:val="46"/>
    <w:rsid w:val="00C1008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mples11">
    <w:name w:val="Tabela Simples 11"/>
    <w:basedOn w:val="Tabelanormal"/>
    <w:uiPriority w:val="41"/>
    <w:rsid w:val="00163C6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egenda">
    <w:name w:val="caption"/>
    <w:basedOn w:val="Normal"/>
    <w:next w:val="Normal"/>
    <w:uiPriority w:val="35"/>
    <w:unhideWhenUsed/>
    <w:qFormat/>
    <w:rsid w:val="00F14D09"/>
    <w:pPr>
      <w:spacing w:after="200" w:line="240" w:lineRule="auto"/>
    </w:pPr>
    <w:rPr>
      <w:i/>
      <w:iCs/>
      <w:color w:val="373545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06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114283008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45864543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373841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9755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637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2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33307586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1193962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19564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9098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65394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17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221333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7900366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86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172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6723320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8620816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217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64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4918700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7321812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237024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8324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10969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9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4052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9539425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03961793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295328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2394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633898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3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23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8920699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536976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87959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0919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65001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4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336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37697703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3286958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7576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4176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0042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79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30681404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555509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574307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7902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99552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0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39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5761059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4660075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72204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2110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388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7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43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155448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441195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23474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91897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4190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584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2629772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7618069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669830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2880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3778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774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3495289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3747820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894335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5068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554661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986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0530363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1700349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7519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176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83471272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4387022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767311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5201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9524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1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943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6694372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6507634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34751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3651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33722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49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14017616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1195288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268202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7018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91570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4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181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3316876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4706346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0852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5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29598810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08296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42099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4560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12619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0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00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6859337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0518777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878457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1124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9398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1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82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51873822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6116148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868244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8709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20822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1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91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1202295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5893523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725831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9304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592204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9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89511484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8790076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20833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11139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0464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1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950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5900481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7709616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296222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612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920944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6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727337298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9193784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816321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3041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1948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EDUH-MARINA">
  <a:themeElements>
    <a:clrScheme name="SEDUH-MARINA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003366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336699"/>
      </a:accent6>
      <a:hlink>
        <a:srgbClr val="398F98"/>
      </a:hlink>
      <a:folHlink>
        <a:srgbClr val="E7AA50"/>
      </a:folHlink>
    </a:clrScheme>
    <a:fontScheme name="SEDUH-MARINA">
      <a:majorFont>
        <a:latin typeface="Segoe UI"/>
        <a:ea typeface="Arial"/>
        <a:cs typeface="Arial"/>
      </a:majorFont>
      <a:minorFont>
        <a:latin typeface="Segoe UI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1385A-D20C-4925-BC1E-DD7D7E5A4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1005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dos Santos</dc:creator>
  <cp:keywords/>
  <dc:description/>
  <cp:lastModifiedBy>Rebecca Schork Rossi</cp:lastModifiedBy>
  <cp:revision>8</cp:revision>
  <cp:lastPrinted>2024-04-04T17:41:00Z</cp:lastPrinted>
  <dcterms:created xsi:type="dcterms:W3CDTF">2024-04-01T18:09:00Z</dcterms:created>
  <dcterms:modified xsi:type="dcterms:W3CDTF">2024-06-04T13:44:00Z</dcterms:modified>
</cp:coreProperties>
</file>